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61FD1" w:rsidRDefault="00661F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661FD1" w:rsidRDefault="00661F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661FD1" w:rsidRDefault="005735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5B5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color w:val="2E75B5"/>
          <w:sz w:val="60"/>
          <w:szCs w:val="60"/>
        </w:rPr>
        <w:t>Halte spirituelle</w:t>
      </w:r>
    </w:p>
    <w:p w14:paraId="00000005" w14:textId="77777777" w:rsidR="00661FD1" w:rsidRDefault="00661FD1" w:rsidP="003E4273">
      <w:pPr>
        <w:pStyle w:val="Sous-titre"/>
        <w:rPr>
          <w:b/>
          <w:sz w:val="26"/>
          <w:szCs w:val="26"/>
        </w:rPr>
      </w:pPr>
    </w:p>
    <w:p w14:paraId="6EA5343D" w14:textId="5DA63465" w:rsidR="003E4273" w:rsidRPr="003E4273" w:rsidRDefault="003E4273" w:rsidP="003E4273">
      <w:pPr>
        <w:pStyle w:val="Titre3"/>
        <w:rPr>
          <w:b/>
        </w:rPr>
      </w:pPr>
      <w:r w:rsidRPr="003E4273">
        <w:rPr>
          <w:b/>
        </w:rPr>
        <w:t>Documents complémentaires</w:t>
      </w:r>
    </w:p>
    <w:p w14:paraId="12DC7F19" w14:textId="77777777" w:rsidR="003E4273" w:rsidRPr="003E4273" w:rsidRDefault="00573588" w:rsidP="003E427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3E4273">
        <w:rPr>
          <w:i/>
          <w:sz w:val="24"/>
          <w:szCs w:val="24"/>
        </w:rPr>
        <w:t>Oasis</w:t>
      </w:r>
      <w:r w:rsidRPr="003E4273">
        <w:rPr>
          <w:sz w:val="24"/>
          <w:szCs w:val="24"/>
        </w:rPr>
        <w:t xml:space="preserve"> n°24, la chambre, lieu de ressourcement</w:t>
      </w:r>
      <w:r w:rsidR="003E4273" w:rsidRPr="003E4273">
        <w:rPr>
          <w:sz w:val="24"/>
          <w:szCs w:val="24"/>
        </w:rPr>
        <w:t xml:space="preserve"> </w:t>
      </w:r>
    </w:p>
    <w:p w14:paraId="00000006" w14:textId="4F0C4DF1" w:rsidR="00661FD1" w:rsidRPr="003E4273" w:rsidRDefault="003E4273" w:rsidP="003E427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3E4273">
        <w:rPr>
          <w:sz w:val="24"/>
          <w:szCs w:val="24"/>
        </w:rPr>
        <w:t>Fiche pour éléments du jeu (plateau et cartes)</w:t>
      </w:r>
      <w:r>
        <w:rPr>
          <w:sz w:val="24"/>
          <w:szCs w:val="24"/>
        </w:rPr>
        <w:t xml:space="preserve"> à télécharger</w:t>
      </w:r>
    </w:p>
    <w:p w14:paraId="6BF397F0" w14:textId="0115A60C" w:rsidR="003E4273" w:rsidRDefault="003E4273" w:rsidP="003E4273">
      <w:pPr>
        <w:pStyle w:val="Titre1"/>
      </w:pPr>
      <w:r>
        <w:t>Introduction</w:t>
      </w:r>
    </w:p>
    <w:p w14:paraId="00000007" w14:textId="77777777" w:rsidR="00661FD1" w:rsidRDefault="00661FD1">
      <w:pPr>
        <w:jc w:val="both"/>
        <w:rPr>
          <w:sz w:val="2"/>
          <w:szCs w:val="2"/>
        </w:rPr>
      </w:pPr>
    </w:p>
    <w:p w14:paraId="0000000A" w14:textId="60F6BBE7" w:rsidR="00661FD1" w:rsidRDefault="00573588" w:rsidP="003E4273">
      <w:pPr>
        <w:rPr>
          <w:i/>
          <w:sz w:val="24"/>
          <w:szCs w:val="24"/>
        </w:rPr>
      </w:pPr>
      <w:r>
        <w:rPr>
          <w:i/>
          <w:sz w:val="24"/>
          <w:szCs w:val="24"/>
        </w:rPr>
        <w:t>Parmi les lieux de ressourcement, la chambre est un lieu important pour chaque personne, un lieu intime.</w:t>
      </w:r>
      <w:r w:rsidR="003E4273">
        <w:rPr>
          <w:i/>
          <w:sz w:val="24"/>
          <w:szCs w:val="24"/>
        </w:rPr>
        <w:br/>
      </w:r>
      <w:r>
        <w:rPr>
          <w:i/>
          <w:sz w:val="24"/>
          <w:szCs w:val="24"/>
        </w:rPr>
        <w:t>Le Christ parle de la chambre comme lieu d’intériorité : « toi, quand tu pries, retire-toi dans ta pièce la plus retirée, ferme la porte et prie ton Père qui est présent dans le secret. » (Mt 6.6)</w:t>
      </w:r>
      <w:r w:rsidR="003E4273">
        <w:rPr>
          <w:i/>
          <w:sz w:val="24"/>
          <w:szCs w:val="24"/>
        </w:rPr>
        <w:br/>
      </w:r>
      <w:r>
        <w:rPr>
          <w:i/>
          <w:sz w:val="24"/>
          <w:szCs w:val="24"/>
        </w:rPr>
        <w:t>A partir de ce lieu, je peux m’interroger sur les moyens et</w:t>
      </w:r>
      <w:r>
        <w:rPr>
          <w:i/>
          <w:sz w:val="24"/>
          <w:szCs w:val="24"/>
        </w:rPr>
        <w:t xml:space="preserve"> les conditions de l’intériorité dans ma vie de baptisé, de disciple-missionnaire.</w:t>
      </w:r>
    </w:p>
    <w:p w14:paraId="0000000B" w14:textId="77777777" w:rsidR="00661FD1" w:rsidRDefault="00573588">
      <w:pPr>
        <w:keepNext/>
        <w:keepLines/>
        <w:pBdr>
          <w:top w:val="nil"/>
          <w:left w:val="nil"/>
          <w:bottom w:val="single" w:sz="4" w:space="1" w:color="5B9BD5"/>
          <w:right w:val="nil"/>
          <w:between w:val="nil"/>
        </w:pBdr>
        <w:spacing w:before="400" w:after="40" w:line="240" w:lineRule="auto"/>
        <w:rPr>
          <w:rFonts w:ascii="Times New Roman" w:eastAsia="Times New Roman" w:hAnsi="Times New Roman" w:cs="Times New Roman"/>
          <w:color w:val="2E75B5"/>
          <w:sz w:val="36"/>
          <w:szCs w:val="36"/>
        </w:rPr>
      </w:pPr>
      <w:r>
        <w:rPr>
          <w:rFonts w:ascii="Times New Roman" w:eastAsia="Times New Roman" w:hAnsi="Times New Roman" w:cs="Times New Roman"/>
          <w:color w:val="2E75B5"/>
          <w:sz w:val="36"/>
          <w:szCs w:val="36"/>
        </w:rPr>
        <w:t>Visée </w:t>
      </w:r>
    </w:p>
    <w:p w14:paraId="0000000C" w14:textId="77777777" w:rsidR="00661FD1" w:rsidRDefault="00573588">
      <w:pPr>
        <w:jc w:val="both"/>
        <w:rPr>
          <w:sz w:val="24"/>
          <w:szCs w:val="24"/>
        </w:rPr>
      </w:pPr>
      <w:r>
        <w:rPr>
          <w:sz w:val="24"/>
          <w:szCs w:val="24"/>
        </w:rPr>
        <w:t>Le christianisme porte en lui un trésor : celui d’un éveil et d’un accès à l’intériorité qui donne sens à l’existence. Nous allons comprendre par ce temps d’animation en quoi, pour la catéchèse, et le catéchuménat, l’intériorité est un enjeu d’éducation qu</w:t>
      </w:r>
      <w:r>
        <w:rPr>
          <w:sz w:val="24"/>
          <w:szCs w:val="24"/>
        </w:rPr>
        <w:t>and il s’agit de mettre en contact, en intimité et en communion avec le Christ (CT 5). Nous réaliserons que l’intériorité touche trois dimensions : la vie intérieure, la rencontre avec l’Autre, la manière de se situer au monde en lien avec les autres en hu</w:t>
      </w:r>
      <w:r>
        <w:rPr>
          <w:sz w:val="24"/>
          <w:szCs w:val="24"/>
        </w:rPr>
        <w:t xml:space="preserve">manité. Il s’agit d’être </w:t>
      </w:r>
      <w:proofErr w:type="spellStart"/>
      <w:r>
        <w:rPr>
          <w:sz w:val="24"/>
          <w:szCs w:val="24"/>
        </w:rPr>
        <w:t>contempl’actif</w:t>
      </w:r>
      <w:proofErr w:type="spellEnd"/>
      <w:r>
        <w:rPr>
          <w:sz w:val="24"/>
          <w:szCs w:val="24"/>
        </w:rPr>
        <w:t> !</w:t>
      </w:r>
    </w:p>
    <w:p w14:paraId="0000000D" w14:textId="77777777" w:rsidR="00661FD1" w:rsidRDefault="00573588">
      <w:pPr>
        <w:keepNext/>
        <w:keepLines/>
        <w:pBdr>
          <w:top w:val="nil"/>
          <w:left w:val="nil"/>
          <w:bottom w:val="single" w:sz="4" w:space="1" w:color="5B9BD5"/>
          <w:right w:val="nil"/>
          <w:between w:val="nil"/>
        </w:pBdr>
        <w:spacing w:before="400" w:after="40" w:line="240" w:lineRule="auto"/>
        <w:rPr>
          <w:rFonts w:ascii="Times New Roman" w:eastAsia="Times New Roman" w:hAnsi="Times New Roman" w:cs="Times New Roman"/>
          <w:color w:val="2E75B5"/>
          <w:sz w:val="36"/>
          <w:szCs w:val="36"/>
        </w:rPr>
      </w:pPr>
      <w:r>
        <w:rPr>
          <w:rFonts w:ascii="Times New Roman" w:eastAsia="Times New Roman" w:hAnsi="Times New Roman" w:cs="Times New Roman"/>
          <w:color w:val="2E75B5"/>
          <w:sz w:val="36"/>
          <w:szCs w:val="36"/>
        </w:rPr>
        <w:t>Accueil</w:t>
      </w:r>
    </w:p>
    <w:p w14:paraId="0000000E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Temps de convivialité et de présentation des personnes présentes</w:t>
      </w:r>
    </w:p>
    <w:p w14:paraId="0000000F" w14:textId="77777777" w:rsidR="00661FD1" w:rsidRDefault="00573588">
      <w:pPr>
        <w:keepNext/>
        <w:keepLines/>
        <w:pBdr>
          <w:top w:val="nil"/>
          <w:left w:val="nil"/>
          <w:bottom w:val="single" w:sz="4" w:space="1" w:color="5B9BD5"/>
          <w:right w:val="nil"/>
          <w:between w:val="nil"/>
        </w:pBdr>
        <w:spacing w:before="400" w:after="40" w:line="240" w:lineRule="auto"/>
        <w:rPr>
          <w:rFonts w:ascii="Times New Roman" w:eastAsia="Times New Roman" w:hAnsi="Times New Roman" w:cs="Times New Roman"/>
          <w:color w:val="2E75B5"/>
          <w:sz w:val="36"/>
          <w:szCs w:val="36"/>
        </w:rPr>
      </w:pPr>
      <w:r>
        <w:rPr>
          <w:rFonts w:ascii="Times New Roman" w:eastAsia="Times New Roman" w:hAnsi="Times New Roman" w:cs="Times New Roman"/>
          <w:color w:val="2E75B5"/>
          <w:sz w:val="36"/>
          <w:szCs w:val="36"/>
        </w:rPr>
        <w:t>Etape 1</w:t>
      </w:r>
    </w:p>
    <w:p w14:paraId="00000010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Porte d’entrée (jeu à partir de l’infographie de la page centrale d’Oasis n°24)</w:t>
      </w:r>
    </w:p>
    <w:p w14:paraId="00000011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En groupe de 4/5 personnes, prévoir des pions et un d</w:t>
      </w:r>
      <w:r>
        <w:rPr>
          <w:sz w:val="24"/>
          <w:szCs w:val="24"/>
        </w:rPr>
        <w:t>é</w:t>
      </w:r>
    </w:p>
    <w:p w14:paraId="00000012" w14:textId="77777777" w:rsidR="00661FD1" w:rsidRDefault="00573588">
      <w:pPr>
        <w:pStyle w:val="Sous-titre"/>
      </w:pPr>
      <w:bookmarkStart w:id="0" w:name="_heading=h.xu6x37fj6ehk" w:colFirst="0" w:colLast="0"/>
      <w:bookmarkEnd w:id="0"/>
      <w:r>
        <w:t>Déroulement</w:t>
      </w:r>
    </w:p>
    <w:p w14:paraId="00000013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Déposer le plateau de jeu au centre de la table. Poser juste à côté, face cachée, les trois tas de cartes « La fenêtre », « Le bureau » et « Le coin prière ». Laisser sur l’autre côté du plateau un espace pour déposer les six cartes qui const</w:t>
      </w:r>
      <w:r>
        <w:rPr>
          <w:sz w:val="24"/>
          <w:szCs w:val="24"/>
        </w:rPr>
        <w:t>itueront le coin prière.</w:t>
      </w:r>
    </w:p>
    <w:p w14:paraId="00000014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Chaque joueur pose également son pion sur la case départ. Pour déterminer le joueur qui débutera la partie, chacun lance le dé : celui qui a le plus petit chiffre commence.</w:t>
      </w:r>
    </w:p>
    <w:p w14:paraId="00000015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lastRenderedPageBreak/>
        <w:t>À son tour, chaque joueur lance le dé et avance d’autant de cases qu’indiqué sur le dé. Le joueur fait alors l’action correspondant à la case sur laquelle il s’arrête. Puis c’est au tour du joueur à sa gauche et ainsi de suite.</w:t>
      </w:r>
    </w:p>
    <w:p w14:paraId="00000016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 xml:space="preserve">- Case « Le lit » : Tu fais </w:t>
      </w:r>
      <w:r>
        <w:rPr>
          <w:sz w:val="24"/>
          <w:szCs w:val="24"/>
        </w:rPr>
        <w:t>une pause pour te reposer. Tu passes ton tour mais au tour suivant tu doubleras le score du dé !</w:t>
      </w:r>
    </w:p>
    <w:p w14:paraId="00000017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- Case « Le coin prière » : Tu pioches une carte « Le coin prière » et tu la retournes face visible sur la table. Le coin prière se construit petit à petit.</w:t>
      </w:r>
    </w:p>
    <w:p w14:paraId="00000018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Case « Les portraits » : Cite une personne modèle pour ta vie de foi (saint ou sainte, témoin, personne engagée…)</w:t>
      </w:r>
    </w:p>
    <w:p w14:paraId="00000019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- Case « La fenêtre » : Pioche une carte « La fenêtre » et lit à haute voix la citation.</w:t>
      </w:r>
    </w:p>
    <w:p w14:paraId="0000001A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- Case « L’armoire » : Recule de trois cases pour avo</w:t>
      </w:r>
      <w:r>
        <w:rPr>
          <w:sz w:val="24"/>
          <w:szCs w:val="24"/>
        </w:rPr>
        <w:t>ir le temps de rechercher ce qui est enfoui au fond de ton armoire.</w:t>
      </w:r>
    </w:p>
    <w:p w14:paraId="0000001B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- Case « Le bureau » : Pioche une carte, lis à voix haute le début de la phrase et fais marcher ton imagination pour lui trouver une fin.</w:t>
      </w:r>
    </w:p>
    <w:p w14:paraId="0000001C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Le jeu s’arrête lorsque toutes les cartes « Le coi</w:t>
      </w:r>
      <w:r>
        <w:rPr>
          <w:sz w:val="24"/>
          <w:szCs w:val="24"/>
        </w:rPr>
        <w:t>n prière » ont été retournées, ou dès qu’un joueur a rejoint la case « Arrivée ».</w:t>
      </w:r>
    </w:p>
    <w:p w14:paraId="0000001D" w14:textId="77777777" w:rsidR="00661FD1" w:rsidRDefault="00573588">
      <w:pPr>
        <w:pStyle w:val="Sous-titre"/>
      </w:pPr>
      <w:bookmarkStart w:id="1" w:name="_heading=h.euaqlogn8f3n" w:colFirst="0" w:colLast="0"/>
      <w:bookmarkEnd w:id="1"/>
      <w:r>
        <w:t>Relecture du jeu en grand groupe</w:t>
      </w:r>
    </w:p>
    <w:p w14:paraId="0000001E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Echanger à partir des questions suivantes:</w:t>
      </w:r>
      <w:r>
        <w:rPr>
          <w:sz w:val="24"/>
          <w:szCs w:val="24"/>
        </w:rPr>
        <w:br/>
        <w:t>Qu’est-ce que j’ai découvert ? De quoi ai-je pris conscience ?</w:t>
      </w:r>
    </w:p>
    <w:p w14:paraId="0000001F" w14:textId="77777777" w:rsidR="00661FD1" w:rsidRDefault="00573588">
      <w:pPr>
        <w:keepNext/>
        <w:keepLines/>
        <w:pBdr>
          <w:top w:val="nil"/>
          <w:left w:val="nil"/>
          <w:bottom w:val="single" w:sz="4" w:space="1" w:color="5B9BD5"/>
          <w:right w:val="nil"/>
          <w:between w:val="nil"/>
        </w:pBdr>
        <w:spacing w:before="400" w:after="40" w:line="240" w:lineRule="auto"/>
        <w:rPr>
          <w:rFonts w:ascii="Times New Roman" w:eastAsia="Times New Roman" w:hAnsi="Times New Roman" w:cs="Times New Roman"/>
          <w:color w:val="2E75B5"/>
          <w:sz w:val="36"/>
          <w:szCs w:val="36"/>
        </w:rPr>
      </w:pPr>
      <w:r>
        <w:rPr>
          <w:rFonts w:ascii="Times New Roman" w:eastAsia="Times New Roman" w:hAnsi="Times New Roman" w:cs="Times New Roman"/>
          <w:color w:val="2E75B5"/>
          <w:sz w:val="36"/>
          <w:szCs w:val="36"/>
        </w:rPr>
        <w:t>Etape 2</w:t>
      </w:r>
    </w:p>
    <w:p w14:paraId="00000020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Approfondir ce qu’est l’int</w:t>
      </w:r>
      <w:r>
        <w:rPr>
          <w:sz w:val="24"/>
          <w:szCs w:val="24"/>
        </w:rPr>
        <w:t>ériorité pour les chrétiens et comment elle colore toute une vie de baptisé</w:t>
      </w:r>
    </w:p>
    <w:p w14:paraId="00000021" w14:textId="77777777" w:rsidR="00661FD1" w:rsidRDefault="00573588">
      <w:pPr>
        <w:pStyle w:val="Sous-titre"/>
      </w:pPr>
      <w:bookmarkStart w:id="2" w:name="_heading=h.9pt4z7qe2lr5" w:colFirst="0" w:colLast="0"/>
      <w:bookmarkEnd w:id="2"/>
      <w:r>
        <w:t>Déroulement</w:t>
      </w:r>
    </w:p>
    <w:p w14:paraId="00000022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A partir de l’article,</w:t>
      </w:r>
      <w:r>
        <w:rPr>
          <w:i/>
          <w:sz w:val="24"/>
          <w:szCs w:val="24"/>
        </w:rPr>
        <w:t xml:space="preserve"> L’intériorité, Dieu au </w:t>
      </w:r>
      <w:proofErr w:type="spellStart"/>
      <w:r>
        <w:rPr>
          <w:i/>
          <w:sz w:val="24"/>
          <w:szCs w:val="24"/>
        </w:rPr>
        <w:t>coeur</w:t>
      </w:r>
      <w:proofErr w:type="spellEnd"/>
      <w:r>
        <w:rPr>
          <w:i/>
          <w:sz w:val="24"/>
          <w:szCs w:val="24"/>
        </w:rPr>
        <w:t xml:space="preserve"> de l’homme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Oasis</w:t>
      </w:r>
      <w:r>
        <w:rPr>
          <w:sz w:val="24"/>
          <w:szCs w:val="24"/>
        </w:rPr>
        <w:t xml:space="preserve"> n°24 p 10-11)</w:t>
      </w:r>
    </w:p>
    <w:p w14:paraId="00000023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Regarder les trois titres des paragraphes de l’article L’intériorité, Dieu au cœur de l’homme de la rubrique « Un peu de théologie » en pages 10 et 11. Correspondent-ils à la définition que vous aviez de l’intériorité ?</w:t>
      </w:r>
    </w:p>
    <w:p w14:paraId="00000024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Lire dans le paragraphe L’intériorit</w:t>
      </w:r>
      <w:r>
        <w:rPr>
          <w:sz w:val="24"/>
          <w:szCs w:val="24"/>
        </w:rPr>
        <w:t xml:space="preserve">é, comme chemin de sainteté à proposer à tous le passage de « La justesse d’une prière se vérifie… » </w:t>
      </w:r>
      <w:proofErr w:type="gramStart"/>
      <w:r>
        <w:rPr>
          <w:sz w:val="24"/>
          <w:szCs w:val="24"/>
        </w:rPr>
        <w:t>jusqu’à</w:t>
      </w:r>
      <w:proofErr w:type="gramEnd"/>
      <w:r>
        <w:rPr>
          <w:sz w:val="24"/>
          <w:szCs w:val="24"/>
        </w:rPr>
        <w:t xml:space="preserve"> la fin. Réagir.</w:t>
      </w:r>
    </w:p>
    <w:p w14:paraId="00000025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L’intériorité pour un baptisé participe au chemin d’unification de la vie (foi et action). C’est ce que semble dire le paragraphe L</w:t>
      </w:r>
      <w:r>
        <w:rPr>
          <w:sz w:val="24"/>
          <w:szCs w:val="24"/>
        </w:rPr>
        <w:t>e lieu de la vérité de l’article de la rubrique « Que dit la Bible ? » en pages 5 et 6. Lire ce paragraphe. Réagir.</w:t>
      </w:r>
    </w:p>
    <w:p w14:paraId="00000026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Regarder la page de couverture, la vignette en page 3 et la photo de l’article de la rubrique « Un peu de théologie » en page 10. Exprimer a</w:t>
      </w:r>
      <w:r>
        <w:rPr>
          <w:sz w:val="24"/>
          <w:szCs w:val="24"/>
        </w:rPr>
        <w:t xml:space="preserve">lors ce qu’évoque pour chacun le mot « </w:t>
      </w:r>
      <w:proofErr w:type="spellStart"/>
      <w:r>
        <w:rPr>
          <w:sz w:val="24"/>
          <w:szCs w:val="24"/>
        </w:rPr>
        <w:t>contempl’actif</w:t>
      </w:r>
      <w:proofErr w:type="spellEnd"/>
      <w:r>
        <w:rPr>
          <w:sz w:val="24"/>
          <w:szCs w:val="24"/>
        </w:rPr>
        <w:t xml:space="preserve"> » ?</w:t>
      </w:r>
    </w:p>
    <w:p w14:paraId="00000027" w14:textId="77777777" w:rsidR="00661FD1" w:rsidRDefault="00573588">
      <w:pPr>
        <w:keepNext/>
        <w:keepLines/>
        <w:pBdr>
          <w:top w:val="nil"/>
          <w:left w:val="nil"/>
          <w:bottom w:val="single" w:sz="4" w:space="1" w:color="5B9BD5"/>
          <w:right w:val="nil"/>
          <w:between w:val="nil"/>
        </w:pBdr>
        <w:spacing w:before="400" w:after="40" w:line="240" w:lineRule="auto"/>
        <w:rPr>
          <w:rFonts w:ascii="Times New Roman" w:eastAsia="Times New Roman" w:hAnsi="Times New Roman" w:cs="Times New Roman"/>
          <w:color w:val="2E75B5"/>
          <w:sz w:val="36"/>
          <w:szCs w:val="36"/>
        </w:rPr>
      </w:pPr>
      <w:r>
        <w:rPr>
          <w:rFonts w:ascii="Times New Roman" w:eastAsia="Times New Roman" w:hAnsi="Times New Roman" w:cs="Times New Roman"/>
          <w:color w:val="2E75B5"/>
          <w:sz w:val="36"/>
          <w:szCs w:val="36"/>
        </w:rPr>
        <w:t>Etape 3</w:t>
      </w:r>
    </w:p>
    <w:p w14:paraId="00000028" w14:textId="74938673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Mise en pratique</w:t>
      </w:r>
      <w:r w:rsidR="003E4273">
        <w:rPr>
          <w:sz w:val="24"/>
          <w:szCs w:val="24"/>
        </w:rPr>
        <w:t>, temps personnel 45 mn</w:t>
      </w:r>
    </w:p>
    <w:p w14:paraId="00000029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Méditation d’un passage biblique (1R 19, 8-13)</w:t>
      </w:r>
    </w:p>
    <w:p w14:paraId="0000002A" w14:textId="77777777" w:rsidR="00661FD1" w:rsidRDefault="00573588" w:rsidP="003E4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08 Élie se leva, mangea et but. Puis, fortifié par cette nourriture, il marcha quarante jours et quarante nuits jusqu’à l’Hore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b, la montagne de Dieu.</w:t>
      </w:r>
    </w:p>
    <w:p w14:paraId="0000002B" w14:textId="77777777" w:rsidR="00661FD1" w:rsidRDefault="00573588" w:rsidP="003E4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 Là, il entra dans une caverne et y passa la nuit. Et voici que la parole du Seigneur lui fut adressée. Il lui dit : « Que fais-tu là, Élie ? »</w:t>
      </w:r>
    </w:p>
    <w:p w14:paraId="0000002C" w14:textId="77777777" w:rsidR="00661FD1" w:rsidRDefault="00573588" w:rsidP="003E4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Il répondit : « J’éprouve une ardeur jalouse pour toi, Seigneur, Dieu de l’univers. Les fils d’Israël ont abandonné ton Alliance, renversé tes autels, et tué tes prophètes par l’épée ; moi, je suis le seul à être resté et ils cherchent à prendre ma vie.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</w:t>
      </w:r>
    </w:p>
    <w:p w14:paraId="0000002D" w14:textId="77777777" w:rsidR="00661FD1" w:rsidRDefault="00573588" w:rsidP="003E4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Le Seigneur dit : « Sors et tiens-toi sur la montagne devant le Seigneur, car il va passer. » À l’approche du Seigneur, il y eut un ouragan, si fort et si violent qu’il fendait les montagnes et brisait les rochers, mais le Seigneur n’était pas dans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’ouragan ; et après l’ouragan, il y eut un tremblement de terre, mais le Seigneur n’était pas dans le tremblement de terre ;</w:t>
      </w:r>
    </w:p>
    <w:p w14:paraId="0000002E" w14:textId="77777777" w:rsidR="00661FD1" w:rsidRDefault="00573588" w:rsidP="003E4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et après ce tremblement de terre, un feu, mais le Seigneur n’était pas dans ce feu ; et après ce feu, le murmure d’une brise lég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ère.</w:t>
      </w:r>
    </w:p>
    <w:p w14:paraId="0000002F" w14:textId="77777777" w:rsidR="00661FD1" w:rsidRDefault="00573588" w:rsidP="003E4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 Aussitôt qu’il l’entendit, Élie se couvrit le visage avec son manteau, il sortit et se tint à l’entrée de la caverne. Alors il entendit une voix qui disait : « Que fais-tu là, Élie ? »</w:t>
      </w:r>
    </w:p>
    <w:p w14:paraId="00000031" w14:textId="42B1F389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 xml:space="preserve">Lecture en grand groupe puis temps personnel </w:t>
      </w:r>
      <w:r w:rsidR="003E4273">
        <w:rPr>
          <w:sz w:val="24"/>
          <w:szCs w:val="24"/>
        </w:rPr>
        <w:t>avec les questions suivantes</w:t>
      </w:r>
      <w:bookmarkStart w:id="3" w:name="_GoBack"/>
      <w:bookmarkEnd w:id="3"/>
    </w:p>
    <w:p w14:paraId="00000032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Après le bruit, la violence et le découragement, Élie est invité à renouveler son expérience de Dieu :</w:t>
      </w:r>
      <w:r>
        <w:rPr>
          <w:sz w:val="24"/>
          <w:szCs w:val="24"/>
        </w:rPr>
        <w:br/>
        <w:t>-</w:t>
      </w:r>
      <w:r>
        <w:rPr>
          <w:sz w:val="14"/>
          <w:szCs w:val="14"/>
        </w:rPr>
        <w:t xml:space="preserve">          </w:t>
      </w:r>
      <w:r>
        <w:rPr>
          <w:sz w:val="24"/>
          <w:szCs w:val="24"/>
        </w:rPr>
        <w:t>« Que fais-tu là, Élie ? » Et moi, où en suis-je ? Quels sont les sentiments qui m’habitent aujourd’hui ?</w:t>
      </w:r>
      <w:r>
        <w:rPr>
          <w:sz w:val="24"/>
          <w:szCs w:val="24"/>
        </w:rPr>
        <w:br/>
        <w:t>-</w:t>
      </w:r>
      <w:r>
        <w:rPr>
          <w:sz w:val="14"/>
          <w:szCs w:val="14"/>
        </w:rPr>
        <w:t xml:space="preserve">          </w:t>
      </w:r>
      <w:r>
        <w:rPr>
          <w:sz w:val="24"/>
          <w:szCs w:val="24"/>
        </w:rPr>
        <w:t xml:space="preserve">Dieu se manifeste à Élie </w:t>
      </w:r>
      <w:r>
        <w:rPr>
          <w:sz w:val="24"/>
          <w:szCs w:val="24"/>
        </w:rPr>
        <w:t>sous un aspect inattendu. Comment se laisser surprendre par Dieu ?</w:t>
      </w:r>
      <w:r>
        <w:rPr>
          <w:sz w:val="24"/>
          <w:szCs w:val="24"/>
        </w:rPr>
        <w:br/>
        <w:t>-</w:t>
      </w:r>
      <w:r>
        <w:rPr>
          <w:sz w:val="14"/>
          <w:szCs w:val="14"/>
        </w:rPr>
        <w:t xml:space="preserve">          </w:t>
      </w:r>
      <w:r>
        <w:rPr>
          <w:sz w:val="24"/>
          <w:szCs w:val="24"/>
        </w:rPr>
        <w:t>Dans ma vie, quel endroit et quelle circonstance pourraient être pour moi la montagne de Dieu ?</w:t>
      </w:r>
    </w:p>
    <w:p w14:paraId="00000033" w14:textId="77777777" w:rsidR="00661FD1" w:rsidRDefault="00573588">
      <w:pPr>
        <w:keepNext/>
        <w:keepLines/>
        <w:pBdr>
          <w:top w:val="nil"/>
          <w:left w:val="nil"/>
          <w:bottom w:val="single" w:sz="4" w:space="1" w:color="5B9BD5"/>
          <w:right w:val="nil"/>
          <w:between w:val="nil"/>
        </w:pBdr>
        <w:spacing w:before="400" w:after="40" w:line="240" w:lineRule="auto"/>
        <w:rPr>
          <w:rFonts w:ascii="Times New Roman" w:eastAsia="Times New Roman" w:hAnsi="Times New Roman" w:cs="Times New Roman"/>
          <w:color w:val="2E75B5"/>
          <w:sz w:val="36"/>
          <w:szCs w:val="36"/>
        </w:rPr>
      </w:pPr>
      <w:r>
        <w:rPr>
          <w:rFonts w:ascii="Times New Roman" w:eastAsia="Times New Roman" w:hAnsi="Times New Roman" w:cs="Times New Roman"/>
          <w:color w:val="2E75B5"/>
          <w:sz w:val="36"/>
          <w:szCs w:val="36"/>
        </w:rPr>
        <w:t>Etape 4</w:t>
      </w:r>
    </w:p>
    <w:p w14:paraId="2616FCFB" w14:textId="5A229D05" w:rsidR="003E4273" w:rsidRDefault="003E4273">
      <w:pPr>
        <w:rPr>
          <w:sz w:val="24"/>
          <w:szCs w:val="24"/>
        </w:rPr>
      </w:pPr>
      <w:r>
        <w:rPr>
          <w:sz w:val="24"/>
          <w:szCs w:val="24"/>
        </w:rPr>
        <w:t>Retour en grand groupe</w:t>
      </w:r>
    </w:p>
    <w:p w14:paraId="00000034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 xml:space="preserve">Se questionner sur nos pratiques quant à l’équilibre entre vie intérieure </w:t>
      </w:r>
      <w:r>
        <w:rPr>
          <w:sz w:val="24"/>
          <w:szCs w:val="24"/>
        </w:rPr>
        <w:t>et engagement.</w:t>
      </w:r>
    </w:p>
    <w:p w14:paraId="00000035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Lire la question du lecteur p 9</w:t>
      </w:r>
      <w:r>
        <w:rPr>
          <w:i/>
          <w:sz w:val="24"/>
          <w:szCs w:val="24"/>
        </w:rPr>
        <w:t xml:space="preserve"> Oasis</w:t>
      </w:r>
      <w:r>
        <w:rPr>
          <w:sz w:val="24"/>
          <w:szCs w:val="24"/>
        </w:rPr>
        <w:t xml:space="preserve"> n°24 (jusqu’à la fin des 4 pistes)</w:t>
      </w:r>
    </w:p>
    <w:p w14:paraId="00000036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Partager sur les expériences vécues</w:t>
      </w:r>
    </w:p>
    <w:p w14:paraId="00000037" w14:textId="77777777" w:rsidR="00661FD1" w:rsidRDefault="00573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Qu’est-ce qui me semble évident et que je pratique déjà ?</w:t>
      </w:r>
    </w:p>
    <w:p w14:paraId="00000038" w14:textId="77777777" w:rsidR="00661FD1" w:rsidRDefault="00573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Qu’est-ce qui est nouveau ? Qu’est-ce que j’ai envie d’explorer?</w:t>
      </w:r>
    </w:p>
    <w:p w14:paraId="00000039" w14:textId="77777777" w:rsidR="00661FD1" w:rsidRDefault="00573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Quelles sont mes habitudes ?</w:t>
      </w:r>
    </w:p>
    <w:p w14:paraId="0000003A" w14:textId="77777777" w:rsidR="00661FD1" w:rsidRDefault="00573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Quelle intériorité je perçois chez les personnes que j’accompagne ?</w:t>
      </w:r>
    </w:p>
    <w:p w14:paraId="0000003B" w14:textId="77777777" w:rsidR="00661FD1" w:rsidRDefault="00573588">
      <w:pPr>
        <w:keepNext/>
        <w:keepLines/>
        <w:pBdr>
          <w:top w:val="nil"/>
          <w:left w:val="nil"/>
          <w:bottom w:val="single" w:sz="4" w:space="1" w:color="5B9BD5"/>
          <w:right w:val="nil"/>
          <w:between w:val="nil"/>
        </w:pBdr>
        <w:spacing w:before="400" w:after="40" w:line="240" w:lineRule="auto"/>
        <w:rPr>
          <w:rFonts w:ascii="Times New Roman" w:eastAsia="Times New Roman" w:hAnsi="Times New Roman" w:cs="Times New Roman"/>
          <w:color w:val="2E75B5"/>
          <w:sz w:val="36"/>
          <w:szCs w:val="36"/>
        </w:rPr>
      </w:pPr>
      <w:r>
        <w:rPr>
          <w:rFonts w:ascii="Times New Roman" w:eastAsia="Times New Roman" w:hAnsi="Times New Roman" w:cs="Times New Roman"/>
          <w:color w:val="2E75B5"/>
          <w:sz w:val="36"/>
          <w:szCs w:val="36"/>
        </w:rPr>
        <w:t>Etape 5</w:t>
      </w:r>
    </w:p>
    <w:p w14:paraId="0000003C" w14:textId="77777777" w:rsidR="00661FD1" w:rsidRDefault="005735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rPr>
          <w:rFonts w:ascii="Times New Roman" w:eastAsia="Times New Roman" w:hAnsi="Times New Roman" w:cs="Times New Roman"/>
          <w:color w:val="2E75B5"/>
          <w:sz w:val="28"/>
          <w:szCs w:val="28"/>
        </w:rPr>
      </w:pPr>
      <w:bookmarkStart w:id="4" w:name="_heading=h.gjdgxs" w:colFirst="0" w:colLast="0"/>
      <w:bookmarkEnd w:id="4"/>
      <w:r>
        <w:rPr>
          <w:rFonts w:ascii="Times New Roman" w:eastAsia="Times New Roman" w:hAnsi="Times New Roman" w:cs="Times New Roman"/>
          <w:color w:val="2E75B5"/>
          <w:sz w:val="28"/>
          <w:szCs w:val="28"/>
        </w:rPr>
        <w:t>Temps de prière</w:t>
      </w:r>
    </w:p>
    <w:p w14:paraId="0000003D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Vivre un temps d’intériorité et de ressourcement à la chapelle</w:t>
      </w:r>
    </w:p>
    <w:p w14:paraId="0000003E" w14:textId="77777777" w:rsidR="00661FD1" w:rsidRDefault="0057358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Accueil : chant </w:t>
      </w:r>
      <w:r>
        <w:rPr>
          <w:i/>
          <w:sz w:val="24"/>
          <w:szCs w:val="24"/>
        </w:rPr>
        <w:t>Seigneur me voici devant toi</w:t>
      </w:r>
    </w:p>
    <w:p w14:paraId="0000003F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Prière de St Augustin (</w:t>
      </w:r>
      <w:r>
        <w:rPr>
          <w:i/>
          <w:sz w:val="24"/>
          <w:szCs w:val="24"/>
        </w:rPr>
        <w:t>Oasis</w:t>
      </w:r>
      <w:r>
        <w:rPr>
          <w:sz w:val="24"/>
          <w:szCs w:val="24"/>
        </w:rPr>
        <w:t xml:space="preserve"> n°24)</w:t>
      </w:r>
    </w:p>
    <w:p w14:paraId="00000040" w14:textId="77777777" w:rsidR="00661FD1" w:rsidRDefault="0057358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Chant de Taizé : </w:t>
      </w:r>
      <w:r>
        <w:rPr>
          <w:i/>
          <w:sz w:val="24"/>
          <w:szCs w:val="24"/>
        </w:rPr>
        <w:t>Jésus le Christ, lumière intérieure</w:t>
      </w:r>
    </w:p>
    <w:p w14:paraId="00000041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Prière du Notre Père</w:t>
      </w:r>
    </w:p>
    <w:p w14:paraId="00000042" w14:textId="77777777" w:rsidR="00661FD1" w:rsidRDefault="00573588">
      <w:pPr>
        <w:rPr>
          <w:sz w:val="24"/>
          <w:szCs w:val="24"/>
        </w:rPr>
      </w:pPr>
      <w:r>
        <w:rPr>
          <w:sz w:val="24"/>
          <w:szCs w:val="24"/>
        </w:rPr>
        <w:t>Envoi</w:t>
      </w:r>
    </w:p>
    <w:sectPr w:rsidR="00661FD1">
      <w:footerReference w:type="default" r:id="rId8"/>
      <w:pgSz w:w="11906" w:h="16838"/>
      <w:pgMar w:top="283" w:right="1417" w:bottom="26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D4EA1" w14:textId="77777777" w:rsidR="00573588" w:rsidRDefault="00573588" w:rsidP="003E4273">
      <w:pPr>
        <w:spacing w:after="0" w:line="240" w:lineRule="auto"/>
      </w:pPr>
      <w:r>
        <w:separator/>
      </w:r>
    </w:p>
  </w:endnote>
  <w:endnote w:type="continuationSeparator" w:id="0">
    <w:p w14:paraId="4F1027E6" w14:textId="77777777" w:rsidR="00573588" w:rsidRDefault="00573588" w:rsidP="003E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EC90C" w14:textId="2CD1074E" w:rsidR="003E4273" w:rsidRDefault="003E4273">
    <w:pPr>
      <w:pStyle w:val="Pieddepage"/>
    </w:pPr>
    <w:r>
      <w:t>SDCC Besançon</w:t>
    </w:r>
    <w:r>
      <w:tab/>
    </w:r>
    <w:r>
      <w:tab/>
    </w:r>
    <w:proofErr w:type="spellStart"/>
    <w:r>
      <w:t>oct</w:t>
    </w:r>
    <w:proofErr w:type="spellEnd"/>
    <w:r>
      <w:t xml:space="preserve"> 2022</w:t>
    </w:r>
  </w:p>
  <w:p w14:paraId="538661F9" w14:textId="77777777" w:rsidR="003E4273" w:rsidRDefault="003E427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7FCFC" w14:textId="77777777" w:rsidR="00573588" w:rsidRDefault="00573588" w:rsidP="003E4273">
      <w:pPr>
        <w:spacing w:after="0" w:line="240" w:lineRule="auto"/>
      </w:pPr>
      <w:r>
        <w:separator/>
      </w:r>
    </w:p>
  </w:footnote>
  <w:footnote w:type="continuationSeparator" w:id="0">
    <w:p w14:paraId="0283463B" w14:textId="77777777" w:rsidR="00573588" w:rsidRDefault="00573588" w:rsidP="003E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F33FE"/>
    <w:multiLevelType w:val="hybridMultilevel"/>
    <w:tmpl w:val="CC463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A133E"/>
    <w:multiLevelType w:val="multilevel"/>
    <w:tmpl w:val="BA2E2A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D1"/>
    <w:rsid w:val="003E4273"/>
    <w:rsid w:val="00573588"/>
    <w:rsid w:val="0066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E1958-4751-45F1-BE2F-5956E9F4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1"/>
        <w:szCs w:val="21"/>
        <w:lang w:val="fr-FR" w:eastAsia="fr-F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4B9"/>
  </w:style>
  <w:style w:type="paragraph" w:styleId="Titre1">
    <w:name w:val="heading 1"/>
    <w:basedOn w:val="Normal"/>
    <w:next w:val="Normal"/>
    <w:link w:val="Titre1Car"/>
    <w:uiPriority w:val="9"/>
    <w:qFormat/>
    <w:rsid w:val="002334B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34B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34B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34B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34B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34B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34B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34B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34B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2334B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334B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2334B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334B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334B9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334B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334B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34B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34B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2334B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334B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2334B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pPr>
      <w:spacing w:after="240" w:line="240" w:lineRule="auto"/>
    </w:pPr>
    <w:rPr>
      <w:rFonts w:ascii="Times New Roman" w:eastAsia="Times New Roman" w:hAnsi="Times New Roman" w:cs="Times New Roman"/>
      <w:color w:val="404040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2334B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2334B9"/>
    <w:rPr>
      <w:b/>
      <w:bCs/>
    </w:rPr>
  </w:style>
  <w:style w:type="character" w:styleId="Accentuation">
    <w:name w:val="Emphasis"/>
    <w:basedOn w:val="Policepardfaut"/>
    <w:uiPriority w:val="20"/>
    <w:qFormat/>
    <w:rsid w:val="002334B9"/>
    <w:rPr>
      <w:i/>
      <w:iCs/>
    </w:rPr>
  </w:style>
  <w:style w:type="paragraph" w:styleId="Sansinterligne">
    <w:name w:val="No Spacing"/>
    <w:uiPriority w:val="1"/>
    <w:qFormat/>
    <w:rsid w:val="002334B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41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334B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334B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34B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34B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2334B9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2334B9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2334B9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2334B9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2334B9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334B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9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umber">
    <w:name w:val="verse_number"/>
    <w:basedOn w:val="Policepardfaut"/>
    <w:rsid w:val="00B97548"/>
  </w:style>
  <w:style w:type="paragraph" w:styleId="En-tte">
    <w:name w:val="header"/>
    <w:basedOn w:val="Normal"/>
    <w:link w:val="En-tteCar"/>
    <w:uiPriority w:val="99"/>
    <w:unhideWhenUsed/>
    <w:rsid w:val="003E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273"/>
  </w:style>
  <w:style w:type="paragraph" w:styleId="Pieddepage">
    <w:name w:val="footer"/>
    <w:basedOn w:val="Normal"/>
    <w:link w:val="PieddepageCar"/>
    <w:uiPriority w:val="99"/>
    <w:unhideWhenUsed/>
    <w:rsid w:val="003E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XHgUgDSqnqH83z8qTtYKcdHiMA==">AMUW2mVyxLYChf66kABxORQ42VtK7oBXjilUWcTbva3nvVXD0Qva/ad3NjoPEAiQgw4a3JTVhuehWE7Gw76gEYai0E+ydPoNZZzldmEDWbMWczvMkcc7qQkeAg16YswsQENjTnZ2pd4utROR8AHTq2XYVNad91eSdHLn+JlxWNuOZjjrwFFTdfpN6O+zrtSw26XPq3HFX2p2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1026</Words>
  <Characters>5646</Characters>
  <Application>Microsoft Office Word</Application>
  <DocSecurity>0</DocSecurity>
  <Lines>47</Lines>
  <Paragraphs>13</Paragraphs>
  <ScaleCrop>false</ScaleCrop>
  <Company>HP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PERROT MINOT</dc:creator>
  <cp:lastModifiedBy>ELISABETH PERROT MINOT</cp:lastModifiedBy>
  <cp:revision>2</cp:revision>
  <dcterms:created xsi:type="dcterms:W3CDTF">2022-10-05T09:35:00Z</dcterms:created>
  <dcterms:modified xsi:type="dcterms:W3CDTF">2022-11-07T08:41:00Z</dcterms:modified>
</cp:coreProperties>
</file>